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(ЭКГ-18R)</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(AC7 шкаф AB15) выход № 2 подает напряжение 24 В на твердотельное реле VU1 (блок AC6 шкаф AB15),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менее 100 В. Так же если через 3,0 секунды напряжение менее 700В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(АС3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(АС7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БДТ3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АВ13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АВ19 не включен</w:t>
            </w:r>
          </w:p>
        </w:tc>
        <w:tc>
          <w:tcPr>
            <w:tcW w:w="8505" w:type="dxa"/>
            <w:vAlign w:val="center"/>
          </w:tcPr>
          <w:p>
            <w:pPr>
              <w:pStyle w:val="textleft"/>
            </w:pPr>
            <w:r>
              <w:rPr>
                <w:rStyle w:val="textleft"/>
              </w:rPr>
              <w:t xml:space="preserve">Когда вентилятор шкафов  АВ13, АВ16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АВ19 не выключен</w:t>
            </w:r>
          </w:p>
        </w:tc>
        <w:tc>
          <w:tcPr>
            <w:tcW w:w="8505" w:type="dxa"/>
            <w:vAlign w:val="center"/>
          </w:tcPr>
          <w:p>
            <w:pPr>
              <w:pStyle w:val="textleft"/>
            </w:pPr>
            <w:r>
              <w:rPr>
                <w:rStyle w:val="textleft"/>
              </w:rPr>
              <w:t xml:space="preserve">Когда вентилятор шкафов  АВ13,16  должен быть вЫключен, но на  БВ380  вход №20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АВ9,12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АВ9,12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Вент.шкафа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АВ19 не включен</w:t>
            </w:r>
          </w:p>
        </w:tc>
        <w:tc>
          <w:tcPr>
            <w:tcW w:w="8505" w:type="dxa"/>
            <w:vAlign w:val="center"/>
          </w:tcPr>
          <w:p>
            <w:pPr>
              <w:pStyle w:val="textleft"/>
            </w:pPr>
            <w:r>
              <w:rPr>
                <w:rStyle w:val="textleft"/>
              </w:rPr>
              <w:t xml:space="preserve">Когда вентилятор шкафа  АВ18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Вент.шкафа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КМ20 шкафа АВ19 не выключен </w:t>
            </w:r>
          </w:p>
        </w:tc>
        <w:tc>
          <w:tcPr>
            <w:tcW w:w="8505" w:type="dxa"/>
            <w:vAlign w:val="center"/>
          </w:tcPr>
          <w:p>
            <w:pPr>
              <w:pStyle w:val="textleft"/>
            </w:pPr>
            <w:r>
              <w:rPr>
                <w:rStyle w:val="textleft"/>
              </w:rPr>
              <w:t xml:space="preserve">Когда вентилятор шкафа  АВ18  должен быть вЫключен, но на  БВ380  вход №25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252</w:t>
            </w:r>
          </w:p>
        </w:tc>
        <w:tc>
          <w:tcPr>
            <w:tcW w:w="2268" w:type="dxa"/>
            <w:vAlign w:val="center"/>
          </w:tcPr>
          <w:p>
            <w:pPr>
              <w:pStyle w:val="textleft"/>
            </w:pPr>
            <w:r>
              <w:rPr>
                <w:rStyle w:val="textleft"/>
              </w:rPr>
              <w:t xml:space="preserve">Смазка ред. нап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двигатель смазки ред. напора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253</w:t>
            </w:r>
          </w:p>
        </w:tc>
        <w:tc>
          <w:tcPr>
            <w:tcW w:w="2268" w:type="dxa"/>
            <w:vAlign w:val="center"/>
          </w:tcPr>
          <w:p>
            <w:pPr>
              <w:pStyle w:val="textleft"/>
            </w:pPr>
            <w:r>
              <w:rPr>
                <w:rStyle w:val="textleft"/>
              </w:rPr>
              <w:t xml:space="preserve">Смазка ред.нап не выключена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двигатель смазки ред. напора должен быть вЫключен, но на  БВ380 вход №13 присутсвует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2024-05-17T09:06:39+03:00</dcterms:created>
  <dcterms:modified xsi:type="dcterms:W3CDTF">2024-05-17T09:06:39+03:00</dcterms:modified>
</cp:coreProperties>
</file>

<file path=docProps/custom.xml><?xml version="1.0" encoding="utf-8"?>
<Properties xmlns="http://schemas.openxmlformats.org/officeDocument/2006/custom-properties" xmlns:vt="http://schemas.openxmlformats.org/officeDocument/2006/docPropsVTypes"/>
</file>